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Layout w:type="fixed"/>
      </w:tblPr>
      <w:tblGrid>
        <w:gridCol w:w="6237"/>
        <w:gridCol w:w="3969"/>
      </w:tblGrid>
      <w:tr>
        <w:tc>
          <w:tcPr>
            <w:tcW w:type="dxa" w:w="6236"/>
          </w:tcPr>
          <w:p>
            <w:r>
              <w:drawing>
                <wp:inline xmlns:a="http://schemas.openxmlformats.org/drawingml/2006/main" xmlns:pic="http://schemas.openxmlformats.org/drawingml/2006/picture">
                  <wp:extent cx="1198080" cy="187200"/>
                  <wp:docPr id="1" name="Picture 1"/>
                  <wp:cNvGraphicFramePr>
                    <a:graphicFrameLocks noChangeAspect="1"/>
                  </wp:cNvGraphicFramePr>
                  <a:graphic>
                    <a:graphicData uri="http://schemas.openxmlformats.org/drawingml/2006/picture">
                      <pic:pic>
                        <pic:nvPicPr>
                          <pic:cNvPr id="0" name="avada-wordmark-ink-1024.png"/>
                          <pic:cNvPicPr/>
                        </pic:nvPicPr>
                        <pic:blipFill>
                          <a:blip r:embed="rId10"/>
                          <a:stretch>
                            <a:fillRect/>
                          </a:stretch>
                        </pic:blipFill>
                        <pic:spPr>
                          <a:xfrm>
                            <a:off x="0" y="0"/>
                            <a:ext cx="1198080" cy="187200"/>
                          </a:xfrm>
                          <a:prstGeom prst="rect"/>
                        </pic:spPr>
                      </pic:pic>
                    </a:graphicData>
                  </a:graphic>
                </wp:inline>
              </w:drawing>
            </w:r>
          </w:p>
          <w:p>
            <w:r>
              <w:rPr>
                <w:rFonts w:ascii="Arial" w:hAnsi="Arial" w:eastAsia="Arial"/>
                <w:caps/>
                <w:color w:val="6A6A67"/>
                <w:sz w:val="13"/>
              </w:rPr>
              <w:t>IT-kompaniya · Tashkilotlar uchun tizimlar va ularni yuritish</w:t>
            </w:r>
          </w:p>
        </w:tc>
        <w:tc>
          <w:tcPr>
            <w:tcW w:type="dxa" w:w="3969"/>
          </w:tcPr>
          <w:p>
            <w:pPr>
              <w:jc w:val="right"/>
            </w:pPr>
            <w:r>
              <w:rPr>
                <w:rFonts w:ascii="Arial" w:hAnsi="Arial" w:eastAsia="Arial"/>
                <w:color w:val="6A6A67"/>
                <w:sz w:val="14"/>
              </w:rPr>
              <w:t xml:space="preserve">Shartnoma </w:t>
            </w:r>
            <w:r>
              <w:rPr>
                <w:rFonts w:ascii="Arial" w:hAnsi="Arial" w:eastAsia="Arial"/>
                <w:b/>
                <w:color w:val="6A6A67"/>
                <w:sz w:val="14"/>
              </w:rPr>
              <w:t>№ [AV-KL-2026/01]</w:t>
            </w:r>
            <w:r>
              <w:rPr>
                <w:rFonts w:ascii="Arial" w:hAnsi="Arial" w:eastAsia="Arial"/>
                <w:color w:val="6A6A67"/>
                <w:sz w:val="14"/>
              </w:rPr>
              <w:br/>
            </w:r>
            <w:r>
              <w:rPr>
                <w:rFonts w:ascii="Arial" w:hAnsi="Arial" w:eastAsia="Arial"/>
                <w:b/>
                <w:color w:val="6A6A67"/>
                <w:sz w:val="14"/>
              </w:rPr>
              <w:t>[KK.OO.YYYY]</w:t>
            </w:r>
          </w:p>
        </w:tc>
      </w:tr>
    </w:tbl>
    <w:p>
      <w:pPr>
        <w:spacing w:after="198" w:before="0" w:line="276" w:lineRule="auto"/>
        <w:pBdr>
          <w:bottom w:val="single" w:sz="8" w:space="1" w:color="0B0B0B"/>
        </w:pBdr>
      </w:pPr>
    </w:p>
    <w:p>
      <w:pPr>
        <w:spacing w:after="68" w:before="0" w:line="276" w:lineRule="auto"/>
      </w:pPr>
      <w:r>
        <w:rPr>
          <w:rFonts w:ascii="Arial" w:hAnsi="Arial" w:eastAsia="Arial"/>
          <w:b/>
          <w:color w:val="0B0B0B"/>
          <w:sz w:val="30"/>
        </w:rPr>
        <w:t>SHARTNOMA № [AV-KL-2026/01]</w:t>
      </w:r>
    </w:p>
    <w:p>
      <w:pPr>
        <w:spacing w:after="170" w:before="0" w:line="276" w:lineRule="auto"/>
      </w:pPr>
      <w:r>
        <w:rPr>
          <w:rFonts w:ascii="Arial" w:hAnsi="Arial" w:eastAsia="Arial"/>
          <w:color w:val="3A3A3A"/>
        </w:rPr>
        <w:t>IT-xizmatlar koʻrsatish: dasturiy taʼminotni ishlab chiqish, joriy etish, joylashtirish va unga Xizmat koʻrsatish hamda undan foydalanish huquqini berish toʻgʻrisida</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5103"/>
        <w:gridCol w:w="5103"/>
      </w:tblGrid>
      <w:tr>
        <w:tc>
          <w:tcPr>
            <w:tcW w:type="dxa" w:w="5102"/>
          </w:tcPr>
          <w:p>
            <w:r>
              <w:rPr>
                <w:rFonts w:ascii="Arial" w:hAnsi="Arial" w:eastAsia="Arial"/>
                <w:sz w:val="15"/>
              </w:rPr>
              <w:t>Samarqand sh.</w:t>
            </w:r>
          </w:p>
        </w:tc>
        <w:tc>
          <w:tcPr>
            <w:tcW w:type="dxa" w:w="5102"/>
          </w:tcPr>
          <w:p>
            <w:pPr>
              <w:jc w:val="right"/>
            </w:pPr>
            <w:r>
              <w:rPr>
                <w:rFonts w:ascii="Arial" w:hAnsi="Arial" w:eastAsia="Arial"/>
                <w:sz w:val="15"/>
              </w:rPr>
              <w:t>«[KK]» [oy] 2026 y.</w:t>
            </w:r>
          </w:p>
        </w:tc>
      </w:tr>
    </w:tbl>
    <w:p>
      <w:pPr>
        <w:spacing w:after="85" w:before="0" w:line="276" w:lineRule="auto"/>
      </w:pPr>
    </w:p>
    <w:p>
      <w:pPr>
        <w:spacing w:after="91" w:before="0" w:line="276" w:lineRule="auto"/>
      </w:pPr>
      <w:r>
        <w:rPr>
          <w:rFonts w:ascii="Arial" w:hAnsi="Arial" w:eastAsia="Arial"/>
        </w:rPr>
        <w:t xml:space="preserve">Yakka tartibdagi tadbirkor </w:t>
      </w:r>
      <w:r>
        <w:rPr>
          <w:rFonts w:ascii="Arial" w:hAnsi="Arial" w:eastAsia="Arial"/>
          <w:b/>
        </w:rPr>
        <w:t>Tadjibayev Farrux N.</w:t>
      </w:r>
      <w:r>
        <w:rPr>
          <w:rFonts w:ascii="Arial" w:hAnsi="Arial" w:eastAsia="Arial"/>
        </w:rPr>
        <w:t xml:space="preserve"> (Avada), keyingi oʻrinlarda «Ijrochi» deb ataladi, bir tomondan, va </w:t>
      </w:r>
      <w:r>
        <w:rPr>
          <w:rFonts w:ascii="Arial" w:hAnsi="Arial" w:eastAsia="Arial"/>
          <w:b/>
        </w:rPr>
        <w:t>[Mijoz]</w:t>
      </w:r>
      <w:r>
        <w:rPr>
          <w:rFonts w:ascii="Arial" w:hAnsi="Arial" w:eastAsia="Arial"/>
        </w:rPr>
        <w:t xml:space="preserve">, [Ustav] asosida ish yurituvchi </w:t>
      </w:r>
      <w:r>
        <w:rPr>
          <w:rFonts w:ascii="Arial" w:hAnsi="Arial" w:eastAsia="Arial"/>
          <w:b/>
        </w:rPr>
        <w:t>[lavozim, F. I. Sh.]</w:t>
      </w:r>
      <w:r>
        <w:rPr>
          <w:rFonts w:ascii="Arial" w:hAnsi="Arial" w:eastAsia="Arial"/>
        </w:rPr>
        <w:t xml:space="preserve"> timsolida, keyingi oʻrinlarda «Buyurtmachi» deb ataladi, ikkinchi tomondan, birgalikda «Taraflar» deb ataladi, quyidagilar haqida ushbu Shartnomani tuzdilar.</w:t>
      </w:r>
    </w:p>
    <w:p>
      <w:pPr>
        <w:keepNext/>
        <w:spacing w:after="68" w:before="181" w:line="276" w:lineRule="auto"/>
        <w:pBdr>
          <w:top w:val="single" w:sz="6" w:space="1" w:color="0B0B0B"/>
        </w:pBdr>
      </w:pPr>
      <w:r>
        <w:rPr>
          <w:rFonts w:ascii="Arial" w:hAnsi="Arial" w:eastAsia="Arial"/>
          <w:b/>
          <w:sz w:val="20"/>
        </w:rPr>
        <w:t>1. Shartnoma predmeti</w:t>
      </w:r>
    </w:p>
    <w:p>
      <w:pPr>
        <w:spacing w:after="91" w:before="0" w:line="276" w:lineRule="auto"/>
      </w:pPr>
      <w:r>
        <w:rPr>
          <w:rFonts w:ascii="Arial" w:hAnsi="Arial" w:eastAsia="Arial"/>
          <w:b/>
        </w:rPr>
        <w:t xml:space="preserve">1.1. </w:t>
      </w:r>
      <w:r>
        <w:rPr>
          <w:rFonts w:ascii="Arial" w:hAnsi="Arial" w:eastAsia="Arial"/>
        </w:rPr>
        <w:t>Ijrochi Buyurtmachiga IT-xizmatlar koʻrsatish: Buyurtmachi uchun dasturiy taʼminotni — [tizim nomi va tarkibi] (keyingi oʻrinlarda — «DT») — ishlab chiqish, takomillashtirish, joriy etish, joylashtirish va unga Xizmat koʻrsatish hamda undan foydalanish huquqini berish (5-boʻlim) majburiyatini oladi, Buyurtmachi esa ularni Shartnoma shartlari asosida qabul qilish va toʻlash majburiyatini oladi.</w:t>
      </w:r>
    </w:p>
    <w:p>
      <w:pPr>
        <w:spacing w:after="91" w:before="0" w:line="276" w:lineRule="auto"/>
      </w:pPr>
      <w:r>
        <w:rPr>
          <w:rFonts w:ascii="Arial" w:hAnsi="Arial" w:eastAsia="Arial"/>
          <w:b/>
        </w:rPr>
        <w:t xml:space="preserve">1.2. </w:t>
      </w:r>
      <w:r>
        <w:rPr>
          <w:rFonts w:ascii="Arial" w:hAnsi="Arial" w:eastAsia="Arial"/>
        </w:rPr>
        <w:t>Muayyan ishlar va xizmatlarning tarkibi, qiymati, muddatlari va toʻlov tartibi Taraflar imzolagan Shartnoma ilovalarida (tijorat takliflari, qoʻshimcha kelishuvlar) belgilanadi.</w:t>
      </w:r>
    </w:p>
    <w:p>
      <w:pPr>
        <w:spacing w:after="91" w:before="0" w:line="276" w:lineRule="auto"/>
      </w:pPr>
      <w:r>
        <w:rPr>
          <w:rFonts w:ascii="Arial" w:hAnsi="Arial" w:eastAsia="Arial"/>
          <w:b/>
        </w:rPr>
        <w:t xml:space="preserve">1.3. </w:t>
      </w:r>
      <w:r>
        <w:rPr>
          <w:rFonts w:ascii="Arial" w:hAnsi="Arial" w:eastAsia="Arial"/>
        </w:rPr>
        <w:t>Ilovalarda koʻrsatilmagan ishlar (yangi funksiyalar, oʻzgartirishlar, integratsiyalar) faqat ularning qiymati va muddati yozma kelishilgandan keyin — yangi Ilova yoki Ijrochi tasdiqlagan Buyurtmachining yozma arizasi bilan — bajariladi. Ijrochining qabul qilingan ishlardagi xatolari yakuniy Dalolatnoma imzolangandan keyin 3 (uch) oy davomida, keyin esa Xizmat koʻrsatish toʻlanib turgan butun davrda bepul tuzatiladi.</w:t>
      </w:r>
    </w:p>
    <w:p>
      <w:pPr>
        <w:keepNext/>
        <w:spacing w:after="68" w:before="181" w:line="276" w:lineRule="auto"/>
        <w:pBdr>
          <w:top w:val="single" w:sz="6" w:space="1" w:color="0B0B0B"/>
        </w:pBdr>
      </w:pPr>
      <w:r>
        <w:rPr>
          <w:rFonts w:ascii="Arial" w:hAnsi="Arial" w:eastAsia="Arial"/>
          <w:b/>
          <w:sz w:val="20"/>
        </w:rPr>
        <w:t>2. Qiymat va hisob-kitob tartibi</w:t>
      </w:r>
    </w:p>
    <w:p>
      <w:pPr>
        <w:spacing w:after="91" w:before="0" w:line="276" w:lineRule="auto"/>
      </w:pPr>
      <w:r>
        <w:rPr>
          <w:rFonts w:ascii="Arial" w:hAnsi="Arial" w:eastAsia="Arial"/>
          <w:b/>
        </w:rPr>
        <w:t xml:space="preserve">2.1. </w:t>
      </w:r>
      <w:r>
        <w:rPr>
          <w:rFonts w:ascii="Arial" w:hAnsi="Arial" w:eastAsia="Arial"/>
        </w:rPr>
        <w:t xml:space="preserve">DTni ishlab chiqish, joriy etish va undan foydalanish huquqining qiymati bir martalik boʻlib, </w:t>
      </w:r>
      <w:r>
        <w:rPr>
          <w:rFonts w:ascii="Arial" w:hAnsi="Arial" w:eastAsia="Arial"/>
          <w:b/>
        </w:rPr>
        <w:t>[summa] ([summa soʻz bilan]) soʻm</w:t>
      </w:r>
      <w:r>
        <w:rPr>
          <w:rFonts w:ascii="Arial" w:hAnsi="Arial" w:eastAsia="Arial"/>
        </w:rPr>
        <w:t>ni tashkil etadi; uni toʻlash tartibi Ilovada koʻrsatiladi.</w:t>
      </w:r>
    </w:p>
    <w:p>
      <w:pPr>
        <w:spacing w:after="91" w:before="0" w:line="276" w:lineRule="auto"/>
      </w:pPr>
      <w:r>
        <w:rPr>
          <w:rFonts w:ascii="Arial" w:hAnsi="Arial" w:eastAsia="Arial"/>
          <w:b/>
        </w:rPr>
        <w:t xml:space="preserve">2.2. </w:t>
      </w:r>
      <w:r>
        <w:rPr>
          <w:rFonts w:ascii="Arial" w:hAnsi="Arial" w:eastAsia="Arial"/>
        </w:rPr>
        <w:t>Xizmat koʻrsatishning dastlabki 3 (uch) oyi — narxga kiritilgan (2.1-band) va yakuniy Dalolatnoma imzolangan kundan hisoblanadi. Keyin Xizmat koʻrsatish alohida toʻlanadi: 2.1-banddagi bir martalik qiymatning yiliga 20 % (yigirma foizi) — yiliga [summa] soʻm yoki oyiga [summa] soʻm. Buyurtmachining tanloviga koʻra Xizmat koʻrsatish har oy joriy oyning 5-sanasigacha oldindan yoki bir yil uchun bir marta oldindan toʻlanadi.</w:t>
      </w:r>
    </w:p>
    <w:p>
      <w:pPr>
        <w:spacing w:after="91" w:before="0" w:line="276" w:lineRule="auto"/>
      </w:pPr>
      <w:r>
        <w:rPr>
          <w:rFonts w:ascii="Arial" w:hAnsi="Arial" w:eastAsia="Arial"/>
          <w:b/>
        </w:rPr>
        <w:t xml:space="preserve">2.3. </w:t>
      </w:r>
      <w:r>
        <w:rPr>
          <w:rFonts w:ascii="Arial" w:hAnsi="Arial" w:eastAsia="Arial"/>
        </w:rPr>
        <w:t xml:space="preserve">Shartnomaning butun amal qilish muddatidagi umumiy qiymati </w:t>
      </w:r>
      <w:r>
        <w:rPr>
          <w:rFonts w:ascii="Arial" w:hAnsi="Arial" w:eastAsia="Arial"/>
          <w:b/>
        </w:rPr>
        <w:t>[summa] ([summa soʻz bilan]) soʻm</w:t>
      </w:r>
      <w:r>
        <w:rPr>
          <w:rFonts w:ascii="Arial" w:hAnsi="Arial" w:eastAsia="Arial"/>
        </w:rPr>
        <w:t>dan oshmaydi. Qiymat Ilovalarda koʻrsatilgan summalardan tashkil topadi.</w:t>
      </w:r>
    </w:p>
    <w:p>
      <w:pPr>
        <w:spacing w:after="91" w:before="0" w:line="276" w:lineRule="auto"/>
      </w:pPr>
      <w:r>
        <w:rPr>
          <w:rFonts w:ascii="Arial" w:hAnsi="Arial" w:eastAsia="Arial"/>
          <w:b/>
        </w:rPr>
        <w:t xml:space="preserve">2.4. </w:t>
      </w:r>
      <w:r>
        <w:rPr>
          <w:rFonts w:ascii="Arial" w:hAnsi="Arial" w:eastAsia="Arial"/>
        </w:rPr>
        <w:t>Narxlar Oʻzbekiston Respublikasining milliy valyutasi — soʻmda, QQSsiz koʻrsatilgan.</w:t>
      </w:r>
    </w:p>
    <w:p>
      <w:pPr>
        <w:spacing w:after="91" w:before="0" w:line="276" w:lineRule="auto"/>
      </w:pPr>
      <w:r>
        <w:rPr>
          <w:rFonts w:ascii="Arial" w:hAnsi="Arial" w:eastAsia="Arial"/>
          <w:b/>
        </w:rPr>
        <w:t xml:space="preserve">2.5. </w:t>
      </w:r>
      <w:r>
        <w:rPr>
          <w:rFonts w:ascii="Arial" w:hAnsi="Arial" w:eastAsia="Arial"/>
        </w:rPr>
        <w:t>Toʻlov Ilovalarda koʻrsatilgan muddatlarda Ijrochining hisob raqamiga naqd pulsiz oʻtkazma yoʻli bilan amalga oshiriladi. Agar muddat koʻrsatilmagan boʻlsa — hisob taqdim etilgan kundan boshlab 5 (besh) bank kuni ichida.</w:t>
      </w:r>
    </w:p>
    <w:p>
      <w:pPr>
        <w:spacing w:after="91" w:before="0" w:line="276" w:lineRule="auto"/>
      </w:pPr>
      <w:r>
        <w:rPr>
          <w:rFonts w:ascii="Arial" w:hAnsi="Arial" w:eastAsia="Arial"/>
          <w:b/>
        </w:rPr>
        <w:t xml:space="preserve">2.6. </w:t>
      </w:r>
      <w:r>
        <w:rPr>
          <w:rFonts w:ascii="Arial" w:hAnsi="Arial" w:eastAsia="Arial"/>
        </w:rPr>
        <w:t>Ijrochi har bir imzolangan Dalolatnoma boʻyicha elektron hujjat aylanishi (EHA) operatori orqali elektron hisobvaraq-faktura (EHF) taqdim etadi.</w:t>
      </w:r>
    </w:p>
    <w:p>
      <w:pPr>
        <w:spacing w:after="91" w:before="0" w:line="276" w:lineRule="auto"/>
      </w:pPr>
      <w:r>
        <w:rPr>
          <w:rFonts w:ascii="Arial" w:hAnsi="Arial" w:eastAsia="Arial"/>
          <w:b/>
        </w:rPr>
        <w:t xml:space="preserve">2.7. </w:t>
      </w:r>
      <w:r>
        <w:rPr>
          <w:rFonts w:ascii="Arial" w:hAnsi="Arial" w:eastAsia="Arial"/>
        </w:rPr>
        <w:t>Xizmat koʻrsatish qiymati 12 oyda bir martadan koʻp boʻlmagan holda, Buyurtmachini kamida 30 kun oldin yozma xabardor qilib, Taraflarning qoʻshimcha kelishuvi bilan qayta koʻrib chiqilishi mumkin.</w:t>
      </w:r>
    </w:p>
    <w:p>
      <w:pPr>
        <w:spacing w:after="91" w:before="0" w:line="276" w:lineRule="auto"/>
      </w:pPr>
      <w:r>
        <w:rPr>
          <w:rFonts w:ascii="Arial" w:hAnsi="Arial" w:eastAsia="Arial"/>
          <w:b/>
        </w:rPr>
        <w:t xml:space="preserve">2.8. </w:t>
      </w:r>
      <w:r>
        <w:rPr>
          <w:rFonts w:ascii="Arial" w:hAnsi="Arial" w:eastAsia="Arial"/>
        </w:rPr>
        <w:t>Toʻlov 30 (oʻttiz) kundan ortiq kechiktirilganda Ijrochi Buyurtmachini kamida 5 (besh) ish kuni oldin yozma ravishda ogohlantirib, qarz toʻlangunga qadar DTga kirishni toʻxtatib turishga haqli; bunda Buyurtmachi maʼlumotlari saqlanadi. Toʻlov 60 (oltmish) kundan ortiq kechiktirilganda Ijrochi Buyurtmachini yozma ravishda xabardor qilib, Shartnomadan voz kechishga haqli; bunda 6.5-band qoʻllaniladi.</w:t>
      </w:r>
    </w:p>
    <w:p>
      <w:pPr>
        <w:keepNext/>
        <w:spacing w:after="68" w:before="181" w:line="276" w:lineRule="auto"/>
        <w:pBdr>
          <w:top w:val="single" w:sz="6" w:space="1" w:color="0B0B0B"/>
        </w:pBdr>
      </w:pPr>
      <w:r>
        <w:rPr>
          <w:rFonts w:ascii="Arial" w:hAnsi="Arial" w:eastAsia="Arial"/>
          <w:b/>
          <w:sz w:val="20"/>
        </w:rPr>
        <w:t>3. Xizmatlar koʻrsatish va qabul qilish tartibi</w:t>
      </w:r>
    </w:p>
    <w:p>
      <w:pPr>
        <w:spacing w:after="91" w:before="0" w:line="276" w:lineRule="auto"/>
      </w:pPr>
      <w:r>
        <w:rPr>
          <w:rFonts w:ascii="Arial" w:hAnsi="Arial" w:eastAsia="Arial"/>
          <w:b/>
        </w:rPr>
        <w:t xml:space="preserve">3.1. </w:t>
      </w:r>
      <w:r>
        <w:rPr>
          <w:rFonts w:ascii="Arial" w:hAnsi="Arial" w:eastAsia="Arial"/>
        </w:rPr>
        <w:t>Ijrochi ishlarni Ilovalarda koʻrsatilgan muddatlarda bajaradi, Buyurtmachini ishlarning borishi haqida xabardor qiladi va uning soʻroviga koʻra test nusxasiga kirishni beradi.</w:t>
      </w:r>
    </w:p>
    <w:p>
      <w:pPr>
        <w:spacing w:after="91" w:before="0" w:line="276" w:lineRule="auto"/>
      </w:pPr>
      <w:r>
        <w:rPr>
          <w:rFonts w:ascii="Arial" w:hAnsi="Arial" w:eastAsia="Arial"/>
          <w:b/>
        </w:rPr>
        <w:t xml:space="preserve">3.2. </w:t>
      </w:r>
      <w:r>
        <w:rPr>
          <w:rFonts w:ascii="Arial" w:hAnsi="Arial" w:eastAsia="Arial"/>
        </w:rPr>
        <w:t>Ishlar yoki bosqich tugagach, shuningdek Xizmat koʻrsatishning har bir oyi uchun Ijrochi Buyurtmachiga bajarilgan ishlar dalolatnomasini (keyingi oʻrinlarda — «Dalolatnoma») EHA orqali ERI bilan yoki qogʻozda yuboradi. Tizim foydalanishga topshiriladigan Ilovaning oxirgi bosqichi boʻyicha Dalolatnoma yakuniy Dalolatnoma hisoblanadi: 1.3 va 2.2-bandlardagi muddatlar u imzolangan kundan boshlab hisoblanadi.</w:t>
      </w:r>
    </w:p>
    <w:p>
      <w:pPr>
        <w:spacing w:after="91" w:before="0" w:line="276" w:lineRule="auto"/>
      </w:pPr>
      <w:r>
        <w:rPr>
          <w:rFonts w:ascii="Arial" w:hAnsi="Arial" w:eastAsia="Arial"/>
          <w:b/>
        </w:rPr>
        <w:t xml:space="preserve">3.3. </w:t>
      </w:r>
      <w:r>
        <w:rPr>
          <w:rFonts w:ascii="Arial" w:hAnsi="Arial" w:eastAsia="Arial"/>
        </w:rPr>
        <w:t>Buyurtmachi 5 (besh) ish kuni ichida Dalolatnomani imzolaydi yoki kamchiliklar roʻyxati bilan asoslantirilgan yozma rad javobini yuboradi. Agar shu muddatda Dalolatnoma imzolanmasa va rad javobi yuborilmasa, ishlar qabul qilingan hisoblanadi.</w:t>
      </w:r>
    </w:p>
    <w:p>
      <w:pPr>
        <w:spacing w:after="91" w:before="0" w:line="276" w:lineRule="auto"/>
      </w:pPr>
      <w:r>
        <w:rPr>
          <w:rFonts w:ascii="Arial" w:hAnsi="Arial" w:eastAsia="Arial"/>
          <w:b/>
        </w:rPr>
        <w:t xml:space="preserve">3.4. </w:t>
      </w:r>
      <w:r>
        <w:rPr>
          <w:rFonts w:ascii="Arial" w:hAnsi="Arial" w:eastAsia="Arial"/>
        </w:rPr>
        <w:t>Asoslantirilgan rad javobidagi kelishilgan hajmga oid kamchiliklarni Ijrochi oqilona muddatda qoʻshimcha toʻlovsiz bartaraf etadi. Kelishilgan hajmdan tashqaridagi istaklar 1.3-bandga muvofiq rasmiylashtiriladi.</w:t>
      </w:r>
    </w:p>
    <w:p>
      <w:pPr>
        <w:keepNext/>
        <w:spacing w:after="68" w:before="181" w:line="276" w:lineRule="auto"/>
        <w:pBdr>
          <w:top w:val="single" w:sz="6" w:space="1" w:color="0B0B0B"/>
        </w:pBdr>
      </w:pPr>
      <w:r>
        <w:rPr>
          <w:rFonts w:ascii="Arial" w:hAnsi="Arial" w:eastAsia="Arial"/>
          <w:b/>
          <w:sz w:val="20"/>
        </w:rPr>
        <w:t>4. Xizmat koʻrsatish</w:t>
      </w:r>
    </w:p>
    <w:p>
      <w:pPr>
        <w:spacing w:after="91" w:before="0" w:line="276" w:lineRule="auto"/>
      </w:pPr>
      <w:r>
        <w:rPr>
          <w:rFonts w:ascii="Arial" w:hAnsi="Arial" w:eastAsia="Arial"/>
          <w:b/>
        </w:rPr>
        <w:t xml:space="preserve">4.1. </w:t>
      </w:r>
      <w:r>
        <w:rPr>
          <w:rFonts w:ascii="Arial" w:hAnsi="Arial" w:eastAsia="Arial"/>
        </w:rPr>
        <w:t>«Xizmat koʻrsatish» — DTni serverda joylashtirish va uning ishlashi, monitoring, nusxalarni asosiy serverdan tashqarida saqlagan holda har kunlik zaxira nusxa olish va Buyurtmachining soʻroviga koʻra ulardan tiklash, xavfsizlik yangilanishlari, xatolarni tuzatish, Buyurtmachi xodimlariga maslahatlar.</w:t>
      </w:r>
    </w:p>
    <w:p>
      <w:pPr>
        <w:spacing w:after="91" w:before="0" w:line="276" w:lineRule="auto"/>
      </w:pPr>
      <w:r>
        <w:rPr>
          <w:rFonts w:ascii="Arial" w:hAnsi="Arial" w:eastAsia="Arial"/>
          <w:b/>
        </w:rPr>
        <w:t xml:space="preserve">4.2. </w:t>
      </w:r>
      <w:r>
        <w:rPr>
          <w:rFonts w:ascii="Arial" w:hAnsi="Arial" w:eastAsia="Arial"/>
        </w:rPr>
        <w:t>Buyurtmachining xabari boʻyicha ishlar har kuni soat 09:00 dan 21:00 gacha 2 (ikki) soat ichida boshlanadi. Boshqa vaqtda olingan xabar boʻyicha ishlar soat 09:00 dan, tizim ishlamay qolganda esa — imkon qadar qisqa muddatda boshlanadi. Xabarlar Ijrochining kontaktlari orqali qabul qilinadi: Telegram @Avadaceo, +998 92 198 00 32, salom@avada.uz; xabar vaqti — uni Ijrochi olgan vaqt.</w:t>
      </w:r>
    </w:p>
    <w:p>
      <w:pPr>
        <w:spacing w:after="91" w:before="0" w:line="276" w:lineRule="auto"/>
      </w:pPr>
      <w:r>
        <w:rPr>
          <w:rFonts w:ascii="Arial" w:hAnsi="Arial" w:eastAsia="Arial"/>
          <w:b/>
        </w:rPr>
        <w:t xml:space="preserve">4.3. </w:t>
      </w:r>
      <w:r>
        <w:rPr>
          <w:rFonts w:ascii="Arial" w:hAnsi="Arial" w:eastAsia="Arial"/>
        </w:rPr>
        <w:t>Xizmat koʻrsatishga yangi funksiyalar va oʻzgartirishlar (1.3-band), shuningdek Buyurtmachi mustaqil toʻlaydigan uchinchi tomon xizmatlari — domen, server, SMS, pullik tashqi xizmatlar — kirmaydi.</w:t>
      </w:r>
    </w:p>
    <w:p>
      <w:pPr>
        <w:spacing w:after="91" w:before="0" w:line="276" w:lineRule="auto"/>
      </w:pPr>
      <w:r>
        <w:rPr>
          <w:rFonts w:ascii="Arial" w:hAnsi="Arial" w:eastAsia="Arial"/>
          <w:b/>
        </w:rPr>
        <w:t xml:space="preserve">4.4. </w:t>
      </w:r>
      <w:r>
        <w:rPr>
          <w:rFonts w:ascii="Arial" w:hAnsi="Arial" w:eastAsia="Arial"/>
        </w:rPr>
        <w:t>Agar Xizmat koʻrsatish toʻlanmasa yoki Shartnoma bekor qilinsa, Ijrochi DTni yana 30 (oʻttiz) kun joylashtirib turadi, shundan keyin joylashtirishni toʻxtatishga haqli. Buyurtmachining tanloviga koʻra Ijrochi uning maʼlumotlarini topshiradi (6.5-band) yoki alohida toʻlov evaziga DTni litsenziya doirasida Buyurtmachining serveriga oʻrnatadi.</w:t>
      </w:r>
    </w:p>
    <w:p>
      <w:pPr>
        <w:keepNext/>
        <w:spacing w:after="68" w:before="181" w:line="276" w:lineRule="auto"/>
        <w:pBdr>
          <w:top w:val="single" w:sz="6" w:space="1" w:color="0B0B0B"/>
        </w:pBdr>
      </w:pPr>
      <w:r>
        <w:rPr>
          <w:rFonts w:ascii="Arial" w:hAnsi="Arial" w:eastAsia="Arial"/>
          <w:b/>
          <w:sz w:val="20"/>
        </w:rPr>
        <w:t>5. Dasturiy taʼminotga boʻlgan huquqlar</w:t>
      </w:r>
    </w:p>
    <w:p>
      <w:pPr>
        <w:spacing w:after="91" w:before="0" w:line="276" w:lineRule="auto"/>
      </w:pPr>
      <w:r>
        <w:rPr>
          <w:rFonts w:ascii="Arial" w:hAnsi="Arial" w:eastAsia="Arial"/>
          <w:b/>
        </w:rPr>
        <w:t xml:space="preserve">5.1. </w:t>
      </w:r>
      <w:r>
        <w:rPr>
          <w:rFonts w:ascii="Arial" w:hAnsi="Arial" w:eastAsia="Arial"/>
        </w:rPr>
        <w:t>DTga, uning dastlabki kodiga, Ijrochining platformasi va dasturiy komponentlariga boʻlgan mutlaq huquqlar Ijrochiga tegishli boʻlib, Buyurtmachiga oʻtkazilmaydi.</w:t>
      </w:r>
    </w:p>
    <w:p>
      <w:pPr>
        <w:spacing w:after="91" w:before="0" w:line="276" w:lineRule="auto"/>
      </w:pPr>
      <w:r>
        <w:rPr>
          <w:rFonts w:ascii="Arial" w:hAnsi="Arial" w:eastAsia="Arial"/>
          <w:b/>
        </w:rPr>
        <w:t xml:space="preserve">5.2. </w:t>
      </w:r>
      <w:r>
        <w:rPr>
          <w:rFonts w:ascii="Arial" w:hAnsi="Arial" w:eastAsia="Arial"/>
        </w:rPr>
        <w:t>Buyurtmachiga DTdan oʻz faoliyatida foydalanish uchun noeksklyuziv litsenziya beriladi: uni Buyurtmachi yoki Ijrochi serverlariga oʻrnatish, Buyurtmachining xodimlari va mijozlari tomonidan ularning sonini cheklamagan holda ishga tushirish va foydalanish, — Oʻzbekiston Respublikasi hududida, 10 (oʻn) yil muddatga, agar Taraflardan hech biri boshqacha bildirmasa, xuddi shu muddatga avtomatik uzaytirilgan holda. Litsenziya uchun haq 2.1-banddagi qiymatga kiritilgan.</w:t>
      </w:r>
    </w:p>
    <w:p>
      <w:pPr>
        <w:spacing w:after="91" w:before="0" w:line="276" w:lineRule="auto"/>
      </w:pPr>
      <w:r>
        <w:rPr>
          <w:rFonts w:ascii="Arial" w:hAnsi="Arial" w:eastAsia="Arial"/>
          <w:b/>
        </w:rPr>
        <w:t xml:space="preserve">5.3. </w:t>
      </w:r>
      <w:r>
        <w:rPr>
          <w:rFonts w:ascii="Arial" w:hAnsi="Arial" w:eastAsia="Arial"/>
        </w:rPr>
        <w:t>Buyurtmachi Ijrochining yozma roziligisiz DTni sotish, uchinchi shaxslarga berish yoki taqdim etish, uchinchi shaxslar uchun undan nusxa olish, uni dekompilyatsiya qilish yoki oʻzgartirish huquqiga ega emas.</w:t>
      </w:r>
    </w:p>
    <w:p>
      <w:pPr>
        <w:spacing w:after="91" w:before="0" w:line="276" w:lineRule="auto"/>
      </w:pPr>
      <w:r>
        <w:rPr>
          <w:rFonts w:ascii="Arial" w:hAnsi="Arial" w:eastAsia="Arial"/>
          <w:b/>
        </w:rPr>
        <w:t xml:space="preserve">5.4. </w:t>
      </w:r>
      <w:r>
        <w:rPr>
          <w:rFonts w:ascii="Arial" w:hAnsi="Arial" w:eastAsia="Arial"/>
        </w:rPr>
        <w:t>Faqat Buyurtmachi uchun uning topshirigʻiga koʻra yaratilgan va DT yoki Ijrochi platformasining bir qismi boʻlmagan natijalarga (masalan, Buyurtmachining oʻz hisobotlari, shakllari, matnlari va tasvirlari) boʻlgan mutlaq huquqlar ular toʻliq toʻlanganidan keyin Buyurtmachiga oʻtadi. DT Ijrochida qoladi va Buyurtmachi undan litsenziya asosida foydalanadi (5.2-band).</w:t>
      </w:r>
    </w:p>
    <w:p>
      <w:pPr>
        <w:keepNext/>
        <w:spacing w:after="68" w:before="181" w:line="276" w:lineRule="auto"/>
        <w:pBdr>
          <w:top w:val="single" w:sz="6" w:space="1" w:color="0B0B0B"/>
        </w:pBdr>
      </w:pPr>
      <w:r>
        <w:rPr>
          <w:rFonts w:ascii="Arial" w:hAnsi="Arial" w:eastAsia="Arial"/>
          <w:b/>
          <w:sz w:val="20"/>
        </w:rPr>
        <w:t>6. Buyurtmachi maʼlumotlari va shaxsga doir maʼlumotlar</w:t>
      </w:r>
    </w:p>
    <w:p>
      <w:pPr>
        <w:spacing w:after="91" w:before="0" w:line="276" w:lineRule="auto"/>
      </w:pPr>
      <w:r>
        <w:rPr>
          <w:rFonts w:ascii="Arial" w:hAnsi="Arial" w:eastAsia="Arial"/>
          <w:b/>
        </w:rPr>
        <w:t xml:space="preserve">6.1. </w:t>
      </w:r>
      <w:r>
        <w:rPr>
          <w:rFonts w:ascii="Arial" w:hAnsi="Arial" w:eastAsia="Arial"/>
        </w:rPr>
        <w:t>Buyurtmachi, uning xodimlari va mijozlari DTga kiritadigan maʼlumotlar Buyurtmachiga tegishli. Buyurtmachi oʻz xodimlari va mijozlarining shaxsga doir maʼlumotlar bazalari mulkdori hisoblanadi va ularni qayta ishlashga ularning roziligi mavjudligini taʼminlaydi. Ijrochi bu maʼlumotlarni Buyurtmachining topshirigʻiga koʻra faqat Shartnomani bajarish uchun qayta ishlaydi.</w:t>
      </w:r>
    </w:p>
    <w:p>
      <w:pPr>
        <w:spacing w:after="91" w:before="0" w:line="276" w:lineRule="auto"/>
      </w:pPr>
      <w:r>
        <w:rPr>
          <w:rFonts w:ascii="Arial" w:hAnsi="Arial" w:eastAsia="Arial"/>
          <w:b/>
        </w:rPr>
        <w:t xml:space="preserve">6.2. </w:t>
      </w:r>
      <w:r>
        <w:rPr>
          <w:rFonts w:ascii="Arial" w:hAnsi="Arial" w:eastAsia="Arial"/>
        </w:rPr>
        <w:t>Maʼlumotlar [Buyurtmachi / Ijrochi] serverida ([mamlakat]) saqlanadi, zaxira nusxalar — [nusxalar saqlanadigan joy]. Biometrik maʼlumotlar Ijrochi tomonidan qayta ishlanmaydi.</w:t>
      </w:r>
    </w:p>
    <w:p>
      <w:pPr>
        <w:spacing w:after="91" w:before="0" w:line="276" w:lineRule="auto"/>
      </w:pPr>
      <w:r>
        <w:rPr>
          <w:rFonts w:ascii="Arial" w:hAnsi="Arial" w:eastAsia="Arial"/>
          <w:b/>
        </w:rPr>
        <w:t xml:space="preserve">6.3. </w:t>
      </w:r>
      <w:r>
        <w:rPr>
          <w:rFonts w:ascii="Arial" w:hAnsi="Arial" w:eastAsia="Arial"/>
        </w:rPr>
        <w:t>Ijrochi maʼlumotlar himoyasini taʼminlaydi: shaxsiy hisob qaydnomalari orqali kirish, ulanishlarni shifrlash, zaxira nusxa olish, harakatlar jurnali.</w:t>
      </w:r>
    </w:p>
    <w:p>
      <w:pPr>
        <w:spacing w:after="91" w:before="0" w:line="276" w:lineRule="auto"/>
      </w:pPr>
      <w:r>
        <w:rPr>
          <w:rFonts w:ascii="Arial" w:hAnsi="Arial" w:eastAsia="Arial"/>
          <w:b/>
        </w:rPr>
        <w:t xml:space="preserve">6.4. </w:t>
      </w:r>
      <w:r>
        <w:rPr>
          <w:rFonts w:ascii="Arial" w:hAnsi="Arial" w:eastAsia="Arial"/>
        </w:rPr>
        <w:t>Maʼlumotlar sizib chiqqani yoki ularga ruxsatsiz kirilgani haqida Ijrochi aniqlangan paytdan boshlab 24 soat ichida Buyurtmachini xabardor qiladi va 72 soat ichida hisobot yuboradi.</w:t>
      </w:r>
    </w:p>
    <w:p>
      <w:pPr>
        <w:spacing w:after="91" w:before="0" w:line="276" w:lineRule="auto"/>
      </w:pPr>
      <w:r>
        <w:rPr>
          <w:rFonts w:ascii="Arial" w:hAnsi="Arial" w:eastAsia="Arial"/>
          <w:b/>
        </w:rPr>
        <w:t xml:space="preserve">6.5. </w:t>
      </w:r>
      <w:r>
        <w:rPr>
          <w:rFonts w:ascii="Arial" w:hAnsi="Arial" w:eastAsia="Arial"/>
        </w:rPr>
        <w:t>Shartnoma tugaganda yoki Buyurtmachining soʻroviga koʻra Ijrochi 10 (oʻn) ish kuni ichida Buyurtmachiga uning maʼlumotlarini umumqabul qilingan formatda (Excel, CSV yoki maʼlumotlar bazasi nusxasi) topshiradi va oʻzidagi nusxalarini topshirilgandan 30 (oʻttiz) kun oʻtgach, Buyurtmachining soʻroviga koʻra esa undan oldinroq, agar qonunda boshqacha talab qilinmasa, oʻchiradi.</w:t>
      </w:r>
    </w:p>
    <w:p>
      <w:pPr>
        <w:keepNext/>
        <w:spacing w:after="68" w:before="181" w:line="276" w:lineRule="auto"/>
        <w:pBdr>
          <w:top w:val="single" w:sz="6" w:space="1" w:color="0B0B0B"/>
        </w:pBdr>
      </w:pPr>
      <w:r>
        <w:rPr>
          <w:rFonts w:ascii="Arial" w:hAnsi="Arial" w:eastAsia="Arial"/>
          <w:b/>
          <w:sz w:val="20"/>
        </w:rPr>
        <w:t>7. Maxfiylik</w:t>
      </w:r>
    </w:p>
    <w:p>
      <w:pPr>
        <w:spacing w:after="91" w:before="0" w:line="276" w:lineRule="auto"/>
      </w:pPr>
      <w:r>
        <w:rPr>
          <w:rFonts w:ascii="Arial" w:hAnsi="Arial" w:eastAsia="Arial"/>
          <w:b/>
        </w:rPr>
        <w:t xml:space="preserve">7.1. </w:t>
      </w:r>
      <w:r>
        <w:rPr>
          <w:rFonts w:ascii="Arial" w:hAnsi="Arial" w:eastAsia="Arial"/>
        </w:rPr>
        <w:t>Taraflar Shartnomani bajarish jarayonida maʼlum boʻlgan bir-birining faoliyati haqidagi maʼlumotlarni, Buyurtmachi maʼlumotlarini, kirish huquqlari va parollarni sir saqlaydi va ularni qonunchilikda nazarda tutilgan hollardan tashqari ikkinchi Tarafning yozma roziligisiz uchinchi shaxslarga bermaydi.</w:t>
      </w:r>
    </w:p>
    <w:p>
      <w:pPr>
        <w:spacing w:after="91" w:before="0" w:line="276" w:lineRule="auto"/>
      </w:pPr>
      <w:r>
        <w:rPr>
          <w:rFonts w:ascii="Arial" w:hAnsi="Arial" w:eastAsia="Arial"/>
          <w:b/>
        </w:rPr>
        <w:t xml:space="preserve">7.2. </w:t>
      </w:r>
      <w:r>
        <w:rPr>
          <w:rFonts w:ascii="Arial" w:hAnsi="Arial" w:eastAsia="Arial"/>
        </w:rPr>
        <w:t>Agar Buyurtmachi yozma ravishda eʼtiroz bildirmasa, Ijrochi Buyurtmachini oʻz mijozlari roʻyxatida koʻrsatishi va uning nomi hamda logotipini avada.uz saytida joylashtirishi mumkin; Buyurtmachi, uning xodimlari va mijozlari haqidagi boshqa maʼlumotlar eʼlon qilinmaydi.</w:t>
      </w:r>
    </w:p>
    <w:p>
      <w:pPr>
        <w:keepNext/>
        <w:spacing w:after="68" w:before="181" w:line="276" w:lineRule="auto"/>
        <w:pBdr>
          <w:top w:val="single" w:sz="6" w:space="1" w:color="0B0B0B"/>
        </w:pBdr>
      </w:pPr>
      <w:r>
        <w:rPr>
          <w:rFonts w:ascii="Arial" w:hAnsi="Arial" w:eastAsia="Arial"/>
          <w:b/>
          <w:sz w:val="20"/>
        </w:rPr>
        <w:t>8. Taraflarning javobgarligi</w:t>
      </w:r>
    </w:p>
    <w:p>
      <w:pPr>
        <w:spacing w:after="91" w:before="0" w:line="276" w:lineRule="auto"/>
      </w:pPr>
      <w:r>
        <w:rPr>
          <w:rFonts w:ascii="Arial" w:hAnsi="Arial" w:eastAsia="Arial"/>
          <w:b/>
        </w:rPr>
        <w:t xml:space="preserve">8.1. </w:t>
      </w:r>
      <w:r>
        <w:rPr>
          <w:rFonts w:ascii="Arial" w:hAnsi="Arial" w:eastAsia="Arial"/>
        </w:rPr>
        <w:t>Toʻlov kechiktirilganda Buyurtmachi har bir kechiktirilgan kun uchun kechiktirilgan summaning 0,1 % miqdorida, biroq kechiktirilgan summaning 10 % idan koʻp boʻlmagan penya toʻlaydi.</w:t>
      </w:r>
    </w:p>
    <w:p>
      <w:pPr>
        <w:spacing w:after="91" w:before="0" w:line="276" w:lineRule="auto"/>
      </w:pPr>
      <w:r>
        <w:rPr>
          <w:rFonts w:ascii="Arial" w:hAnsi="Arial" w:eastAsia="Arial"/>
          <w:b/>
        </w:rPr>
        <w:t xml:space="preserve">8.2. </w:t>
      </w:r>
      <w:r>
        <w:rPr>
          <w:rFonts w:ascii="Arial" w:hAnsi="Arial" w:eastAsia="Arial"/>
        </w:rPr>
        <w:t>Ijrochining aybi bilan ishlar bajarilishi kechiktirilganda Ijrochi har bir kechiktirilgan kun uchun kechiktirilgan ishlar qiymatining 0,1 % miqdorida, biroq ular qiymatining 10 % idan koʻp boʻlmagan penya toʻlaydi.</w:t>
      </w:r>
    </w:p>
    <w:p>
      <w:pPr>
        <w:spacing w:after="91" w:before="0" w:line="276" w:lineRule="auto"/>
      </w:pPr>
      <w:r>
        <w:rPr>
          <w:rFonts w:ascii="Arial" w:hAnsi="Arial" w:eastAsia="Arial"/>
          <w:b/>
        </w:rPr>
        <w:t xml:space="preserve">8.3. </w:t>
      </w:r>
      <w:r>
        <w:rPr>
          <w:rFonts w:ascii="Arial" w:hAnsi="Arial" w:eastAsia="Arial"/>
        </w:rPr>
        <w:t>Ijrochi uchinchi tomon xizmatlari va uning nazoratidan tashqaridagi holatlar (internet, Buyurtmachining serveri va domeni, tashqi xizmatlar) sabab boʻlgan uzilishlar hamda uchinchi shaxslarning harakatlari uchun javob bermaydi. Ijrochining javobgarligi Buyurtmachi oxirgi 12 (oʻn ikki) oyda amalda toʻlagan summa bilan cheklanadi.</w:t>
      </w:r>
    </w:p>
    <w:p>
      <w:pPr>
        <w:keepNext/>
        <w:spacing w:after="68" w:before="181" w:line="276" w:lineRule="auto"/>
        <w:pBdr>
          <w:top w:val="single" w:sz="6" w:space="1" w:color="0B0B0B"/>
        </w:pBdr>
      </w:pPr>
      <w:r>
        <w:rPr>
          <w:rFonts w:ascii="Arial" w:hAnsi="Arial" w:eastAsia="Arial"/>
          <w:b/>
          <w:sz w:val="20"/>
        </w:rPr>
        <w:t>9. Fors-major holatlari</w:t>
      </w:r>
    </w:p>
    <w:p>
      <w:pPr>
        <w:spacing w:after="91" w:before="0" w:line="276" w:lineRule="auto"/>
      </w:pPr>
      <w:r>
        <w:rPr>
          <w:rFonts w:ascii="Arial" w:hAnsi="Arial" w:eastAsia="Arial"/>
          <w:b/>
        </w:rPr>
        <w:t xml:space="preserve">9.1. </w:t>
      </w:r>
      <w:r>
        <w:rPr>
          <w:rFonts w:ascii="Arial" w:hAnsi="Arial" w:eastAsia="Arial"/>
        </w:rPr>
        <w:t>Taraflar fors-major holatlari sabab majburiyatlarni bajarmaganlik uchun ushbu holatlar davomida, ular yuzaga kelgan paytdan boshlab 5 (besh) ish kuni ichida ikkinchi Tarafni xabardor qilgan taqdirda, javobgarlikdan ozod qilinadi.</w:t>
      </w:r>
    </w:p>
    <w:p>
      <w:pPr>
        <w:keepNext/>
        <w:spacing w:after="68" w:before="181" w:line="276" w:lineRule="auto"/>
        <w:pBdr>
          <w:top w:val="single" w:sz="6" w:space="1" w:color="0B0B0B"/>
        </w:pBdr>
      </w:pPr>
      <w:r>
        <w:rPr>
          <w:rFonts w:ascii="Arial" w:hAnsi="Arial" w:eastAsia="Arial"/>
          <w:b/>
          <w:sz w:val="20"/>
        </w:rPr>
        <w:t>10. Nizolarni hal qilish</w:t>
      </w:r>
    </w:p>
    <w:p>
      <w:pPr>
        <w:spacing w:after="91" w:before="0" w:line="276" w:lineRule="auto"/>
      </w:pPr>
      <w:r>
        <w:rPr>
          <w:rFonts w:ascii="Arial" w:hAnsi="Arial" w:eastAsia="Arial"/>
          <w:b/>
        </w:rPr>
        <w:t xml:space="preserve">10.1. </w:t>
      </w:r>
      <w:r>
        <w:rPr>
          <w:rFonts w:ascii="Arial" w:hAnsi="Arial" w:eastAsia="Arial"/>
        </w:rPr>
        <w:t>Nizolar muzokaralar yoʻli bilan hal qilinadi. Daʼvo xati olingan paytdan boshlab 10 (oʻn) ish kuni ichida koʻrib chiqiladi.</w:t>
      </w:r>
    </w:p>
    <w:p>
      <w:pPr>
        <w:spacing w:after="91" w:before="0" w:line="276" w:lineRule="auto"/>
      </w:pPr>
      <w:r>
        <w:rPr>
          <w:rFonts w:ascii="Arial" w:hAnsi="Arial" w:eastAsia="Arial"/>
          <w:b/>
        </w:rPr>
        <w:t xml:space="preserve">10.2. </w:t>
      </w:r>
      <w:r>
        <w:rPr>
          <w:rFonts w:ascii="Arial" w:hAnsi="Arial" w:eastAsia="Arial"/>
        </w:rPr>
        <w:t>Kelishuvga erishilmasa, nizo Oʻzbekiston Respublikasi qonunchiligiga muvofiq Ijrochi joylashgan joydagi iqtisodiy sudga topshiriladi.</w:t>
      </w:r>
    </w:p>
    <w:p>
      <w:pPr>
        <w:keepNext/>
        <w:spacing w:after="68" w:before="181" w:line="276" w:lineRule="auto"/>
        <w:pBdr>
          <w:top w:val="single" w:sz="6" w:space="1" w:color="0B0B0B"/>
        </w:pBdr>
      </w:pPr>
      <w:r>
        <w:rPr>
          <w:rFonts w:ascii="Arial" w:hAnsi="Arial" w:eastAsia="Arial"/>
          <w:b/>
          <w:sz w:val="20"/>
        </w:rPr>
        <w:t>11. Shartnomaning amal qilish muddati</w:t>
      </w:r>
    </w:p>
    <w:p>
      <w:pPr>
        <w:spacing w:after="91" w:before="0" w:line="276" w:lineRule="auto"/>
      </w:pPr>
      <w:r>
        <w:rPr>
          <w:rFonts w:ascii="Arial" w:hAnsi="Arial" w:eastAsia="Arial"/>
          <w:b/>
        </w:rPr>
        <w:t xml:space="preserve">11.1. </w:t>
      </w:r>
      <w:r>
        <w:rPr>
          <w:rFonts w:ascii="Arial" w:hAnsi="Arial" w:eastAsia="Arial"/>
        </w:rPr>
        <w:t>Shartnoma imzolangan paytdan boshlab kuchga kiradi va [2027]-yil 31-dekabrgacha amal qiladi. Agar Taraflardan hech biri muddat tugashidan kamida 30 kun oldin ikkinchi Tarafni bekor qilish haqida xabardor qilmasa, Shartnoma har bir keyingi kalendar yiliga uzaytiriladi.</w:t>
      </w:r>
    </w:p>
    <w:p>
      <w:pPr>
        <w:spacing w:after="91" w:before="0" w:line="276" w:lineRule="auto"/>
      </w:pPr>
      <w:r>
        <w:rPr>
          <w:rFonts w:ascii="Arial" w:hAnsi="Arial" w:eastAsia="Arial"/>
          <w:b/>
        </w:rPr>
        <w:t xml:space="preserve">11.2. </w:t>
      </w:r>
      <w:r>
        <w:rPr>
          <w:rFonts w:ascii="Arial" w:hAnsi="Arial" w:eastAsia="Arial"/>
        </w:rPr>
        <w:t>Har bir Taraf, Buyurtmachi bekor qilish sanasigacha amalda koʻrsatilgan xizmatlar uchun toʻlagan taqdirda, ikkinchi Tarafni kamida 30 kun oldin yozma xabardor qilib, Shartnomani bekor qilishga haqli.</w:t>
      </w:r>
    </w:p>
    <w:p>
      <w:pPr>
        <w:keepNext/>
        <w:spacing w:after="68" w:before="181" w:line="276" w:lineRule="auto"/>
        <w:pBdr>
          <w:top w:val="single" w:sz="6" w:space="1" w:color="0B0B0B"/>
        </w:pBdr>
      </w:pPr>
      <w:r>
        <w:rPr>
          <w:rFonts w:ascii="Arial" w:hAnsi="Arial" w:eastAsia="Arial"/>
          <w:b/>
          <w:sz w:val="20"/>
        </w:rPr>
        <w:t>12. Yakuniy qoidalar</w:t>
      </w:r>
    </w:p>
    <w:p>
      <w:pPr>
        <w:spacing w:after="91" w:before="0" w:line="276" w:lineRule="auto"/>
      </w:pPr>
      <w:r>
        <w:rPr>
          <w:rFonts w:ascii="Arial" w:hAnsi="Arial" w:eastAsia="Arial"/>
          <w:b/>
        </w:rPr>
        <w:t xml:space="preserve">12.1. </w:t>
      </w:r>
      <w:r>
        <w:rPr>
          <w:rFonts w:ascii="Arial" w:hAnsi="Arial" w:eastAsia="Arial"/>
        </w:rPr>
        <w:t>Shartnomaga oʻzgartish va qoʻshimchalar yozma shaklda rasmiylashtirilib, Taraflar tomonidan imzolangan taqdirda haqiqiy hisoblanadi. Skaner nusxasida, ERI bilan EHA orqali yoki rekvizitlarda koʻrsatilgan messenjerlar va elektron pochtadagi rasmiy kontaktlar orqali imzolangan va yuborilgan hujjatlar asl nusxa kuchiga ega.</w:t>
      </w:r>
    </w:p>
    <w:p>
      <w:pPr>
        <w:spacing w:after="91" w:before="0" w:line="276" w:lineRule="auto"/>
      </w:pPr>
      <w:r>
        <w:rPr>
          <w:rFonts w:ascii="Arial" w:hAnsi="Arial" w:eastAsia="Arial"/>
          <w:b/>
        </w:rPr>
        <w:t xml:space="preserve">12.2. </w:t>
      </w:r>
      <w:r>
        <w:rPr>
          <w:rFonts w:ascii="Arial" w:hAnsi="Arial" w:eastAsia="Arial"/>
        </w:rPr>
        <w:t>Shartnoma ilovalari uning ajralmas qismi hisoblanadi. Shartnoma oʻzbek tilida, teng yuridik kuchga ega ikki nusxada, har bir Taraf uchun bittadan tuzildi.</w:t>
      </w:r>
    </w:p>
    <w:p>
      <w:pPr>
        <w:keepNext/>
        <w:spacing w:after="68" w:before="181" w:line="276" w:lineRule="auto"/>
        <w:pBdr>
          <w:top w:val="single" w:sz="6" w:space="1" w:color="0B0B0B"/>
        </w:pBdr>
      </w:pPr>
      <w:r>
        <w:rPr>
          <w:sz w:val="17"/>
          <w:shd w:val="clear" w:color="auto" w:fill="E3261B"/>
        </w:rPr>
        <w:t xml:space="preserve">  </w:t>
      </w:r>
      <w:r>
        <w:rPr>
          <w:sz w:val="17"/>
        </w:rPr>
        <w:t xml:space="preserve">  </w:t>
      </w:r>
      <w:r>
        <w:rPr>
          <w:rFonts w:ascii="Arial" w:hAnsi="Arial" w:eastAsia="Arial"/>
          <w:b/>
          <w:sz w:val="20"/>
        </w:rPr>
        <w:t>13. Taraflarning rekvizitlari va imzolari</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5103"/>
        <w:gridCol w:w="5103"/>
      </w:tblGrid>
      <w:tr>
        <w:tc>
          <w:tcPr>
            <w:tcW w:type="dxa" w:w="5102"/>
          </w:tcPr>
          <w:p>
            <w:pPr>
              <w:pBdr>
                <w:top w:val="single" w:sz="8" w:space="1" w:color="0B0B0B"/>
              </w:pBdr>
            </w:pPr>
            <w:r>
              <w:rPr>
                <w:rFonts w:ascii="Arial" w:hAnsi="Arial" w:eastAsia="Arial"/>
                <w:caps/>
                <w:color w:val="6A6A67"/>
                <w:sz w:val="13"/>
              </w:rPr>
              <w:t>Ijrochi</w:t>
            </w:r>
          </w:p>
          <w:p>
            <w:pPr>
              <w:spacing w:after="0" w:before="0" w:line="264" w:lineRule="auto"/>
            </w:pPr>
            <w:r>
              <w:rPr>
                <w:rFonts w:ascii="Arial" w:hAnsi="Arial" w:eastAsia="Arial"/>
                <w:sz w:val="16"/>
              </w:rPr>
              <w:t>YaTT Tadjibayev Farrux N.</w:t>
            </w:r>
          </w:p>
          <w:p>
            <w:pPr>
              <w:spacing w:after="0" w:before="0" w:line="264" w:lineRule="auto"/>
            </w:pPr>
            <w:r>
              <w:rPr>
                <w:rFonts w:ascii="Arial" w:hAnsi="Arial" w:eastAsia="Arial"/>
                <w:sz w:val="16"/>
              </w:rPr>
              <w:t>Manzil: [Ijrochi manzili]</w:t>
            </w:r>
          </w:p>
          <w:p>
            <w:pPr>
              <w:spacing w:after="0" w:before="0" w:line="264" w:lineRule="auto"/>
            </w:pPr>
            <w:r>
              <w:rPr>
                <w:rFonts w:ascii="Arial" w:hAnsi="Arial" w:eastAsia="Arial"/>
                <w:sz w:val="16"/>
              </w:rPr>
              <w:t>JShShIR: [JShShIR]</w:t>
            </w:r>
          </w:p>
          <w:p>
            <w:pPr>
              <w:spacing w:after="0" w:before="0" w:line="264" w:lineRule="auto"/>
            </w:pPr>
            <w:r>
              <w:rPr>
                <w:rFonts w:ascii="Arial" w:hAnsi="Arial" w:eastAsia="Arial"/>
                <w:sz w:val="16"/>
              </w:rPr>
              <w:t>H/r: [hisob raqami]</w:t>
            </w:r>
          </w:p>
          <w:p>
            <w:pPr>
              <w:spacing w:after="0" w:before="0" w:line="264" w:lineRule="auto"/>
            </w:pPr>
            <w:r>
              <w:rPr>
                <w:rFonts w:ascii="Arial" w:hAnsi="Arial" w:eastAsia="Arial"/>
                <w:sz w:val="16"/>
              </w:rPr>
              <w:t>Bank: [bank], MFO [MFO]</w:t>
            </w:r>
          </w:p>
          <w:p>
            <w:pPr>
              <w:spacing w:after="0" w:before="0" w:line="264" w:lineRule="auto"/>
            </w:pPr>
            <w:r>
              <w:rPr>
                <w:rFonts w:ascii="Arial" w:hAnsi="Arial" w:eastAsia="Arial"/>
                <w:sz w:val="16"/>
              </w:rPr>
              <w:t>Tel.: +998 92 198 00 32 · avada.uz</w:t>
            </w:r>
          </w:p>
          <w:p>
            <w:pPr>
              <w:spacing w:after="0" w:before="340" w:line="264" w:lineRule="auto"/>
            </w:pPr>
            <w:r>
              <w:rPr>
                <w:rFonts w:ascii="Arial" w:hAnsi="Arial" w:eastAsia="Arial"/>
                <w:sz w:val="16"/>
              </w:rPr>
              <w:t>IT-kompaniya rahbari</w:t>
              <w:br/>
              <w:t>__________________ /Tadjibayev F. N./   M.Oʻ.</w:t>
            </w:r>
          </w:p>
        </w:tc>
        <w:tc>
          <w:tcPr>
            <w:tcW w:type="dxa" w:w="5102"/>
          </w:tcPr>
          <w:p>
            <w:pPr>
              <w:pBdr>
                <w:top w:val="single" w:sz="8" w:space="1" w:color="0B0B0B"/>
              </w:pBdr>
            </w:pPr>
            <w:r>
              <w:rPr>
                <w:rFonts w:ascii="Arial" w:hAnsi="Arial" w:eastAsia="Arial"/>
                <w:caps/>
                <w:color w:val="6A6A67"/>
                <w:sz w:val="13"/>
              </w:rPr>
              <w:t>Buyurtmachi</w:t>
            </w:r>
          </w:p>
          <w:p>
            <w:pPr>
              <w:spacing w:after="0" w:before="0" w:line="264" w:lineRule="auto"/>
            </w:pPr>
            <w:r>
              <w:rPr>
                <w:rFonts w:ascii="Arial" w:hAnsi="Arial" w:eastAsia="Arial"/>
                <w:sz w:val="16"/>
              </w:rPr>
              <w:t>[Mijoz]</w:t>
            </w:r>
          </w:p>
          <w:p>
            <w:pPr>
              <w:spacing w:after="0" w:before="0" w:line="264" w:lineRule="auto"/>
            </w:pPr>
            <w:r>
              <w:rPr>
                <w:rFonts w:ascii="Arial" w:hAnsi="Arial" w:eastAsia="Arial"/>
                <w:sz w:val="16"/>
              </w:rPr>
              <w:t>Manzil: [manzil]</w:t>
            </w:r>
          </w:p>
          <w:p>
            <w:pPr>
              <w:spacing w:after="0" w:before="0" w:line="264" w:lineRule="auto"/>
            </w:pPr>
            <w:r>
              <w:rPr>
                <w:rFonts w:ascii="Arial" w:hAnsi="Arial" w:eastAsia="Arial"/>
                <w:sz w:val="16"/>
              </w:rPr>
              <w:t>STIR: [STIR]</w:t>
            </w:r>
          </w:p>
          <w:p>
            <w:pPr>
              <w:spacing w:after="0" w:before="0" w:line="264" w:lineRule="auto"/>
            </w:pPr>
            <w:r>
              <w:rPr>
                <w:rFonts w:ascii="Arial" w:hAnsi="Arial" w:eastAsia="Arial"/>
                <w:sz w:val="16"/>
              </w:rPr>
              <w:t>H/r: [hisob raqami]</w:t>
            </w:r>
          </w:p>
          <w:p>
            <w:pPr>
              <w:spacing w:after="0" w:before="0" w:line="264" w:lineRule="auto"/>
            </w:pPr>
            <w:r>
              <w:rPr>
                <w:rFonts w:ascii="Arial" w:hAnsi="Arial" w:eastAsia="Arial"/>
                <w:sz w:val="16"/>
              </w:rPr>
              <w:t>Bank: [bank], MFO [MFO]</w:t>
            </w:r>
          </w:p>
          <w:p>
            <w:pPr>
              <w:spacing w:after="0" w:before="0" w:line="264" w:lineRule="auto"/>
            </w:pPr>
            <w:r>
              <w:rPr>
                <w:rFonts w:ascii="Arial" w:hAnsi="Arial" w:eastAsia="Arial"/>
                <w:sz w:val="16"/>
              </w:rPr>
              <w:t>[Lavozim]: [F. I. Sh.]</w:t>
            </w:r>
          </w:p>
          <w:p>
            <w:pPr>
              <w:spacing w:after="0" w:before="340" w:line="264" w:lineRule="auto"/>
            </w:pPr>
            <w:r>
              <w:rPr>
                <w:rFonts w:ascii="Arial" w:hAnsi="Arial" w:eastAsia="Arial"/>
                <w:sz w:val="16"/>
              </w:rPr>
              <w:t>__________________ /[F. I. Sh.]/   M.Oʻ.</w:t>
            </w:r>
          </w:p>
        </w:tc>
      </w:tr>
    </w:tbl>
    <w:sectPr w:rsidR="00FC693F" w:rsidRPr="0006063C" w:rsidSect="00034616">
      <w:footerReference w:type="default" r:id="rId9"/>
      <w:pgSz w:w="11906" w:h="16838"/>
      <w:pgMar w:top="68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6A6A67"/>
        <w:sz w:val="13"/>
      </w:rPr>
      <w:t xml:space="preserve">AVADA   ·   Shartnoma № [AV-KL-2026/01]   ·   </w:t>
    </w:r>
    <w:r>
      <w:rPr>
        <w:rFonts w:ascii="Arial" w:hAnsi="Arial"/>
        <w:sz w:val="13"/>
      </w:rPr>
      <w:fldChar w:fldCharType="begin"/>
    </w:r>
    <w:r>
      <w:rPr>
        <w:rFonts w:ascii="Arial" w:hAnsi="Arial"/>
        <w:sz w:val="13"/>
      </w:rPr>
      <w:instrText xml:space="preserve">PAGE</w:instrText>
    </w:r>
    <w:r>
      <w:rPr>
        <w:rFonts w:ascii="Arial" w:hAnsi="Arial"/>
        <w:sz w:val="13"/>
      </w:rPr>
      <w:fldChar w:fldCharType="end"/>
    </w:r>
    <w:r>
      <w:rPr>
        <w:sz w:val="13"/>
      </w:rPr>
      <w:t xml:space="preserve"> / </w:t>
    </w:r>
    <w:r>
      <w:rPr>
        <w:rFonts w:ascii="Arial" w:hAnsi="Arial"/>
        <w:sz w:val="13"/>
      </w:rPr>
      <w:fldChar w:fldCharType="begin"/>
    </w:r>
    <w:r>
      <w:rPr>
        <w:rFonts w:ascii="Arial" w:hAnsi="Arial"/>
        <w:sz w:val="13"/>
      </w:rPr>
      <w:instrText xml:space="preserve">NUMPAGES</w:instrText>
    </w:r>
    <w:r>
      <w:rPr>
        <w:rFonts w:ascii="Arial" w:hAnsi="Arial"/>
        <w:sz w:val="13"/>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4" w:lineRule="auto"/>
    </w:pPr>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